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🩺 引言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医疗器械制造与医院消毒供应中心（CSSD）的日常运营中，清洗用水的水质直接关乎患者的生命安全。随着《医疗器械生产质量管理规范》（GMP）和医院消毒供应中心行业标准的严格执行，"内毒素"这一隐形杀手成为了监管与质控的焦点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许多企业在面临飞检或日常监测时，常遭遇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清洗用水内毒素超标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的棘手问题。这不仅会导致医疗器械（尤其是植入物、透析器、内镜）清洗不合格，引发患者热原反应，甚至可能导致严重的医疗事故。如何构建一套符合GMP认证要求、能持续稳定控制内毒素的水处理系统？科学的消毒方案是破局的关键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🔬 危机解码：为何内毒素是"最难缠"的污染物？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内毒素，即革兰氏阴性菌细胞壁中的脂多糖（LPS）。它具有极强的热稳定性和化学稳定性，这也是它难以去除的根本原因：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内毒素的特性：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耐高温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：常规的121℃高压灭菌无法完全破坏内毒素结构，必须达到250℃以上才能有效降解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易聚集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：内毒素在水中常以胶体聚集体形式存在，分子量巨大（&gt;10,000道尔顿），容易在管道内壁形成生物膜，持续释放毒素</w:t>
      </w:r>
      <w:bookmarkEnd w:id="1008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危害大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：即使微量进入人体血液循环，也会引起发热、休克等严重反应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水质标准要求：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根据《中国药典》及GMP标准，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纯化水的内毒素含量需控制在0.25 EU/mL以下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，而血液透析用水等高风险领域要求更为严苛。一旦系统出现死角或消毒不彻底，生物膜便会迅速滋生，导致水质瞬间崩盘。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2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🛡️ 技术防线：多级屏障与深度除热原工艺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要从源头杜绝内毒素超标，必须建立"拦截+杀灭+去除"的三重防线，确保水质符合GMP及WS310标准。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反渗透（RO）：物理拦截第一关</w:t>
      </w:r>
      <w:bookmarkEnd w:id="10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反渗透膜是目前去除内毒素最高效的物理手段之一。由于内毒素聚集体分子量远大于水分子，RO膜能利用其极小的孔径（&lt;0.001μm）有效拦截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99.9%以上的内毒素和细菌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。双级RO工艺更能将产水电导率控制在2μS/cm以内，为后续处理打下坚实基础。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超滤（UF）：精准筛分核心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针对RO产水可能残留的微量热原，引入超滤技术是行业金标准。超滤膜的截留分子量（NMWL）通常设定在10,000道尔顿，这正好处于内毒素分子的尺寸范围。通过物理筛分作用，超滤能像"滤网"一样将内毒素彻底截留，确保产水达到注射用水级别的纯净度。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EDI与抛光混床：抑制细菌滋生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电去离子（EDI）技术结合了离子交换和电渗析，不仅能持续产出高纯水，其电场作用还能抑制细菌繁殖，从源头减少内毒素的产生源。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🧼 运维核心：全系统无死角消毒策略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硬件决定了水质的上限，而消毒运维决定了水质的下限。针对GMP认证要求，必须实施严格的管道与储罐消毒管理。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臭氧消毒：强氧化无残留</w:t>
      </w:r>
      <w:bookmarkEnd w:id="1022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原理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：利用臭氧（O₃）的强氧化性，破坏细菌细胞壁并氧化分解内毒素</w:t>
      </w:r>
      <w:bookmarkEnd w:id="1023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：消毒能力强，且分解后还原为氧气，无化学残留</w:t>
      </w:r>
      <w:bookmarkEnd w:id="102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应用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：适用于储罐及循环管路的定期消毒，需控制浓度在0.3-0.5mg/L，接触时间不少于10分钟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巴氏消毒：热力灭菌经典法</w:t>
      </w:r>
      <w:bookmarkEnd w:id="1026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原理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：将纯化水加热至80℃以上并维持循环30分钟以上</w:t>
      </w:r>
      <w:bookmarkEnd w:id="1027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：操作简单，成本低，对去除生物膜效果显著</w:t>
      </w:r>
      <w:bookmarkEnd w:id="1028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注意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：需确保系统所有组件（如RO膜、密封圈）耐高温，且需防止烫伤</w:t>
      </w:r>
      <w:bookmarkEnd w:id="10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化学消毒：过氧乙酸的高效应用</w:t>
      </w:r>
      <w:bookmarkEnd w:id="1030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原理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：过氧乙酸具有极强的氧化能力，能穿透生物膜杀灭深层细菌</w:t>
      </w:r>
      <w:bookmarkEnd w:id="1031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：配置0.2%-0.3%浓度的过氧乙酸溶液进行循环浸泡</w:t>
      </w:r>
      <w:bookmarkEnd w:id="1032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关键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：消毒后必须用超纯水彻底冲洗，直至残留量低于1mg/L，防止腐蚀设备或污染水质</w:t>
      </w:r>
      <w:bookmarkEnd w:id="10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4. 紫外线（UV）杀菌：在线实时防护</w:t>
      </w:r>
      <w:bookmarkEnd w:id="10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在用水点前安装254nm波长的紫外线杀菌器，作为最后一道防线，实时杀灭流经水中的微生物，防止终端二次污染。</w:t>
      </w:r>
      <w:bookmarkEnd w:id="10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3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📊 方案价值：合规与质量的双重护航</w:t>
      </w:r>
      <w:bookmarkEnd w:id="10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通过实施GMP标准的水处理与消毒方案，医疗器械企业将获得显著的竞争优势：</w:t>
      </w:r>
      <w:bookmarkEnd w:id="1037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000"/>
        <w:gridCol w:w="4000"/>
        <w:gridCol w:w="4000"/>
        <w:gridCol w:w="4000"/>
      </w:tblGrid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维度</w:t>
            </w:r>
            <w:bookmarkEnd w:id="103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传统水处理方案</w:t>
            </w:r>
            <w:bookmarkEnd w:id="103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GMP标准消毒方案</w:t>
            </w:r>
            <w:bookmarkEnd w:id="104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效益分析</w:t>
            </w:r>
            <w:bookmarkEnd w:id="1041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内毒素控制</w:t>
            </w:r>
            <w:bookmarkEnd w:id="104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依赖定期更换滤芯，波动大</w:t>
            </w:r>
            <w:bookmarkEnd w:id="1043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超滤+RO双重保障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，稳定&lt;0.25 EU/mL</w:t>
            </w:r>
            <w:bookmarkEnd w:id="104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杜绝热原反应，保障患者安全</w:t>
            </w:r>
            <w:bookmarkEnd w:id="1045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6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微生物指标</w:t>
            </w:r>
            <w:bookmarkEnd w:id="1046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易滋生生物膜，超标风险高</w:t>
            </w:r>
            <w:bookmarkEnd w:id="104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8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无死角消毒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，细菌总数&lt;10 CFU/100mL</w:t>
            </w:r>
            <w:bookmarkEnd w:id="104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降低产品召回风险，维护品牌声誉</w:t>
            </w:r>
            <w:bookmarkEnd w:id="1049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0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合规性</w:t>
            </w:r>
            <w:bookmarkEnd w:id="105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难以应对严格飞检</w:t>
            </w:r>
            <w:bookmarkEnd w:id="105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2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全流程数据记录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，符合GMP/WS310标准</w:t>
            </w:r>
            <w:bookmarkEnd w:id="105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顺利通过认证，拓展高端市场</w:t>
            </w:r>
            <w:bookmarkEnd w:id="1053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运维成本</w:t>
            </w:r>
            <w:bookmarkEnd w:id="105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频繁维修，耗材浪费</w:t>
            </w:r>
            <w:bookmarkEnd w:id="105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6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预防性维护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，延长设备寿命</w:t>
            </w:r>
            <w:bookmarkEnd w:id="1056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降低长期运营成本</w:t>
            </w:r>
            <w:bookmarkEnd w:id="1057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5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📌 结语</w:t>
      </w:r>
      <w:bookmarkEnd w:id="10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在医疗器械行业，水质安全不仅是技术指标，更是法律底线。面对日益严格的监管环境，唯有采用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"多级净化硬件"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与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"科学消毒运维"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相结合的GMP标准水处理系统，才能彻底根除内毒素超标的隐患。</w:t>
      </w:r>
      <w:bookmarkEnd w:id="10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我们专注于为医疗行业提供符合GMP及WS310标准的纯化水解决方案。从系统设计、材质选型到消毒验证，我们为您提供一站式合规服务，确保每一滴清洗用水都达到"零热原、零污染"的严苛要求，为您的医疗器械产品质量保驾护航。</w:t>
      </w:r>
      <w:bookmarkEnd w:id="106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如果您正面临水质检测不合格或GMP认证难题，欢迎联系我们进行系统诊断，我们将为您定制专属的水处理消毒升级方案。</w:t>
      </w:r>
      <w:bookmarkEnd w:id="106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文档编制日期：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2024年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bookmarkEnd w:id="10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适用范围：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医疗器械生产企业、医院消毒供应中心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bookmarkEnd w:id="10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/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参考标准：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GMP、WS310、中国药典</w:t>
      </w:r>
      <w:bookmarkEnd w:id="1064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2026-04-13T07:41:53Z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ZBg0/+vZAeXvsqob2Gb0ZGJV5226tM5bWeA24WzhU5g=","ProduceID":"doc_sgs:e7d74952-e92c-4be6-8c97-7af9411ad2de","ReservedCode2":"ZBg0/+vZAeXvsqob2Gb0ZGJV5226tM5bWeA24WzhU5g=","PropagateID":"doc_sgs:e7d74952-e92c-4be6-8c97-7af9411ad2de","ContentProducer":"001191440101MA9Y9T4H7A00000"}</vt:lpwstr>
  </property>
</Properties>
</file>