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化工生产"水质精准控制"指南：如何应对高COD、高盐度原水？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场景设定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：某精细化工园区（生产农药中间体），面临原水COD高达100,000mg/L、盐分28,000mg/L的极端工况，且水质水量波动剧烈。企业技术总监与环保工艺专家正在探讨如何建立"精准控制"体系，以确保达标排放与生产安全。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3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一、深度诊断：为何高COD、高盐度原水难以驯服？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技术总监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："我们的原水成分太复杂了，COD动不动就破10万，盐分还特别高。直接进生化系统，菌种就'死'一片；直接蒸发，设备又堵得厉害。这水质波动的根源到底在哪？"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工艺专家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："这正是典型的'三高'（高COD、高盐、难降解）废水特征。导致难以精准控制的'三大痛点'如下："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🔬 1. 基质毒性抑制（生化系统的"杀手"）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：高浓度的有机物（如酚类、氰化物、农药残留）对微生物具有强烈的毒害作用。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：当进水COD过高且含有生物难降解物质时，微生物的细胞膜通透性改变，酶活性受到抑制，导致生化系统崩溃（污泥膨胀或上浮）。</w:t>
      </w:r>
      <w:bookmarkEnd w:id="1008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数据支撑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：通常进水COD超过5000-8000mg/L时，好氧处理效率就会大幅下降；若含有高浓度氯离子（&gt;2000mg/L），会破坏微生物的渗透压平衡。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⚠️ 2. 蒸发系统的"结垢与污堵"（物理处理的"瓶颈"）</w:t>
      </w:r>
      <w:bookmarkEnd w:id="1010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：采用MVR蒸发器进行脱盐时，换热管壁迅速结垢，热效率急剧下降，甚至导致设备瘫痪。</w:t>
      </w:r>
      <w:bookmarkEnd w:id="1011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：原水中的大分子有机物在蒸发浓缩过程中，会与无机盐（硫酸根、钙镁离子）发生共沉淀或聚合反应，形成难以清洗的"有机-无机复合垢"。</w:t>
      </w:r>
      <w:bookmarkEnd w:id="1012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后果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：蒸发残液量巨大（可达进料量的15%-50%），且因有机物夹带，导致结晶盐被判定为危废，处置成本极高（约2400元/吨）。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📊 3. 水质水量的"双重波动"（控制系统的"噩梦"）</w:t>
      </w:r>
      <w:bookmarkEnd w:id="1014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冲击负荷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：化工生产多为间歇式排放，不同工段的废水（酸洗水、碱洗水、母液）混合后，pH值、温度和污染物浓度在短时间内剧烈波动，常规的处理工艺无法适应这种"潮汐式"冲击。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16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二、策略分析：主流处理技术的优劣势对比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技术总监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："针对这些问题，我们目前考虑过'微电解+芬顿'做预处理，也想过直接上'湿式氧化'。这两种路子哪个更稳？"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工艺专家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："这取决于你们对'运行成本'和'处理效果'的权衡。我为你整理了针对高COD、高盐废水的核心技术对比："</w:t>
      </w:r>
      <w:bookmarkEnd w:id="1018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技术方案</w:t>
            </w:r>
            <w:bookmarkEnd w:id="101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核心原理</w:t>
            </w:r>
            <w:bookmarkEnd w:id="102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优势</w:t>
            </w:r>
            <w:bookmarkEnd w:id="102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劣势</w:t>
            </w:r>
            <w:bookmarkEnd w:id="102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适用场景</w:t>
            </w:r>
            <w:bookmarkEnd w:id="1023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铁碳微电解+芬顿</w:t>
            </w:r>
            <w:bookmarkEnd w:id="102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电化学氧化还原 + 羟基自由基氧化</w:t>
            </w:r>
            <w:bookmarkEnd w:id="102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提高可生化性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：能将B/C比从0.17提升至0.36。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成本适中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：药剂成本约2.5元/吨水。</w:t>
            </w:r>
            <w:bookmarkEnd w:id="102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产泥量大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：产生大量含铁污泥（危废），处置成本高（约2元/吨水）。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操作繁琐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：需频繁调节pH值。</w:t>
            </w:r>
            <w:bookmarkEnd w:id="102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中低浓度难降解废水的预处理，作为生化前的"开路先锋"。</w:t>
            </w:r>
            <w:bookmarkEnd w:id="1028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湿式催化氧化</w:t>
            </w:r>
            <w:bookmarkEnd w:id="102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高温高压下利用氧气氧化有机物</w:t>
            </w:r>
            <w:bookmarkEnd w:id="103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彻底无害化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：将大分子降解为小分子，去除率高。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无二次污染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：不产生含盐污泥，解决蒸发堵塞问题。</w:t>
            </w:r>
            <w:bookmarkEnd w:id="103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门槛高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：需高温（约240℃）高压（约45bar）环境，设备投资大。</w:t>
            </w:r>
            <w:bookmarkEnd w:id="103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高浓度、高毒性、高盐废水的"蒸发前置"预处理，保护蒸发系统。</w:t>
            </w:r>
            <w:bookmarkEnd w:id="1033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膜分离技术</w:t>
            </w:r>
            <w:bookmarkEnd w:id="103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管式超滤/纳滤/反渗透</w:t>
            </w:r>
            <w:bookmarkEnd w:id="103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精准分盐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：能实现水与盐、不同盐类之间的分离。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回用率高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：水回用率可达60%-70%。</w:t>
            </w:r>
            <w:bookmarkEnd w:id="103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膜污染风险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：高COD原水极易导致膜孔堵塞，需严格的预处理。</w:t>
            </w:r>
            <w:bookmarkEnd w:id="103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深度处理阶段，用于产水回用或蒸发前的浓缩减量。</w:t>
            </w:r>
            <w:bookmarkEnd w:id="1038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39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三、解决方案：如何构建"精准控制"的用水安全防线？</w:t>
      </w:r>
      <w:bookmarkEnd w:id="10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技术总监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："看来单一技术搞不定。为了实现水质精准控制，保证后端生化或蒸发系统的稳定，我们应该建立怎样的全流程体系？"</w:t>
      </w:r>
      <w:bookmarkEnd w:id="10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工艺专家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："要实现'精准控制'，必须从'分质分流'到'深度处理'进行全链条设计，核心策略如下："</w:t>
      </w:r>
      <w:bookmarkEnd w:id="10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🌊 1. 源头控制：分质分流与均质调节</w:t>
      </w:r>
      <w:bookmarkEnd w:id="1042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清污分流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：严禁将高浓度母液（COD&gt;50,000mg/L）与低浓度清洗水混合。高盐废水应单独收集进入蒸发系统，高COD废水单独进行氧化预处理。</w:t>
      </w:r>
      <w:bookmarkEnd w:id="1043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精准调节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：设置足够容积的调节池，并配备在线pH、COD、电导率监测仪。通过自动加药系统，将进水波动"削峰填谷"，确保后续处理单元进水水质相对恒定。</w:t>
      </w:r>
      <w:bookmarkEnd w:id="10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⚙️ 2. 核心工艺：强化预处理与分盐结晶</w:t>
      </w:r>
      <w:bookmarkEnd w:id="1045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蒸发前置无害化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：对于高盐废水，建议在蒸发前引入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湿式催化氧化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技术。将大分子有机物切断为小分子，消除蒸发器的结垢隐患，同时将有毒物质转化为无毒物质，确保蒸发冷凝水可生化性良好，结晶盐能达到工业级标准（NaCl≥98.5%）。</w:t>
      </w:r>
      <w:bookmarkEnd w:id="1046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膜法分盐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：采用"管式超滤+纳滤"组合工艺。管式超滤作为把关单元，截留胶体和大分子；纳滤将一价盐（氯化钠）与二价盐（硫酸钠）分离，实现真正的资源化利用，避免杂盐填埋。</w:t>
      </w:r>
      <w:bookmarkEnd w:id="10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🦠 3. 终端保障：生化系统的韧性提升</w:t>
      </w:r>
      <w:bookmarkEnd w:id="1048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特种菌种驯化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：针对化工废水的特性，投加耐盐、耐毒性的特种菌种（如嗜盐菌）。</w:t>
      </w:r>
      <w:bookmarkEnd w:id="1049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在线毒性预警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：在生化系统进水口安装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生物毒性分析仪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。一旦检测到进水毒性超标（如ATU&gt;10），立即启动应急旁路切换，将有毒废水切入事故池，保护生化系统内的活性污泥。</w:t>
      </w:r>
      <w:bookmarkEnd w:id="10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技术总监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："这个思路很清晰！我们将重点放在'分质'和'蒸发前置氧化'上，彻底解决结垢和毒性问题。"</w:t>
      </w:r>
      <w:bookmarkEnd w:id="10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工艺专家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："正是如此。化工废水的治理没有'万能药'，只有'精准配伍'。做好了源头分质和过程控制，高COD、高盐废水也能变废为宝。"</w:t>
      </w:r>
      <w:bookmarkEnd w:id="10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📌 关键要点总结</w:t>
      </w:r>
      <w:bookmarkEnd w:id="1053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精准分质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是基础：不同浓度、不同成分的废水要分类处理</w:t>
      </w:r>
      <w:bookmarkEnd w:id="1054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预处理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是关键：高COD废水必须进行无害化处理后再进入蒸发系统</w:t>
      </w:r>
      <w:bookmarkEnd w:id="1055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在线监测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是保障：实时监控水质变化，及时调整工艺参数</w:t>
      </w:r>
      <w:bookmarkEnd w:id="1056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资源化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是方向：通过分盐技术实现盐的回收利用，降低处置成本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通过这套"精准控制"体系，企业不仅能够有效应对高COD、高盐度原水的挑战，还能实现废水处理的经济效益与环境效益双赢。</w:t>
      </w:r>
      <w:bookmarkEnd w:id="1058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2026-04-16T02:52:27Z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aMX4e6pc4Dmulrh1dnztXn28DEzwNB8zV/UZewe/mP8=","ProduceID":"doc_sgs:7f0b24cf-f60d-4973-b807-a85b0b470e26","ReservedCode2":"aMX4e6pc4Dmulrh1dnztXn28DEzwNB8zV/UZewe/mP8=","PropagateID":"doc_sgs:7f0b24cf-f60d-4973-b807-a85b0b470e26","ContentProducer":"001191440101MA9Y9T4H7A00000"}</vt:lpwstr>
  </property>
</Properties>
</file>